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1. Утвердить следующее распределение прибыли (убытков) Общества за 2025 год:</w:t>
      </w:r>
    </w:p>
    <w:p w:rsidR="00936705" w:rsidRPr="00936705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0"/>
          <w:szCs w:val="10"/>
        </w:rPr>
      </w:pPr>
    </w:p>
    <w:tbl>
      <w:tblPr>
        <w:tblStyle w:val="TableNormal"/>
        <w:tblW w:w="56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28"/>
        <w:gridCol w:w="1809"/>
      </w:tblGrid>
      <w:tr w:rsidTr="00BB023A">
        <w:tblPrEx>
          <w:tblW w:w="5637" w:type="dxa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/>
        </w:tblPrEx>
        <w:trPr>
          <w:trHeight w:val="2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705" w:rsidRPr="00AE6346" w:rsidP="00936705">
            <w:pPr>
              <w:pStyle w:val="Normal10"/>
              <w:jc w:val="center"/>
              <w:rPr>
                <w:b/>
                <w:bCs/>
                <w:i/>
                <w:sz w:val="14"/>
                <w:szCs w:val="14"/>
              </w:rPr>
            </w:pPr>
            <w:r w:rsidRPr="00AE6346">
              <w:rPr>
                <w:b/>
                <w:bCs/>
                <w:i/>
                <w:sz w:val="14"/>
                <w:szCs w:val="14"/>
              </w:rPr>
              <w:t>Показатель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705" w:rsidRPr="00AE6346" w:rsidP="00936705">
            <w:pPr>
              <w:pStyle w:val="Normal10"/>
              <w:jc w:val="center"/>
              <w:rPr>
                <w:b/>
                <w:bCs/>
                <w:i/>
                <w:sz w:val="14"/>
                <w:szCs w:val="14"/>
              </w:rPr>
            </w:pPr>
            <w:r w:rsidRPr="00AE6346">
              <w:rPr>
                <w:b/>
                <w:bCs/>
                <w:i/>
                <w:sz w:val="14"/>
                <w:szCs w:val="14"/>
              </w:rPr>
              <w:t xml:space="preserve">Сумма, </w:t>
            </w:r>
            <w:r w:rsidRPr="00AE6346">
              <w:rPr>
                <w:b/>
                <w:bCs/>
                <w:i/>
                <w:sz w:val="14"/>
                <w:szCs w:val="14"/>
              </w:rPr>
              <w:t>тыс.руб</w:t>
            </w:r>
            <w:r w:rsidRPr="00AE6346">
              <w:rPr>
                <w:b/>
                <w:bCs/>
                <w:i/>
                <w:sz w:val="14"/>
                <w:szCs w:val="14"/>
              </w:rPr>
              <w:t>.</w:t>
            </w:r>
          </w:p>
        </w:tc>
      </w:tr>
      <w:tr w:rsidTr="00BB023A">
        <w:tblPrEx>
          <w:tblW w:w="5637" w:type="dxa"/>
          <w:tblInd w:w="0" w:type="dxa"/>
          <w:tblLayout w:type="fixed"/>
          <w:tblLook w:val="01E0"/>
        </w:tblPrEx>
        <w:trPr>
          <w:trHeight w:val="23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705" w:rsidRPr="009205CA" w:rsidP="00936705">
            <w:pPr>
              <w:pStyle w:val="Normal10"/>
              <w:jc w:val="both"/>
              <w:rPr>
                <w:b/>
                <w:bCs/>
                <w:sz w:val="14"/>
                <w:szCs w:val="14"/>
              </w:rPr>
            </w:pPr>
            <w:r w:rsidRPr="009205CA">
              <w:rPr>
                <w:b/>
                <w:bCs/>
                <w:sz w:val="14"/>
                <w:szCs w:val="14"/>
              </w:rPr>
              <w:t>Убыток отчетного периода: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705" w:rsidRPr="009205CA" w:rsidP="00936705">
            <w:pPr>
              <w:pStyle w:val="Normal10"/>
              <w:jc w:val="right"/>
              <w:rPr>
                <w:b/>
                <w:bCs/>
                <w:sz w:val="14"/>
                <w:szCs w:val="14"/>
              </w:rPr>
            </w:pPr>
            <w:r w:rsidRPr="009205CA">
              <w:rPr>
                <w:b/>
                <w:bCs/>
                <w:sz w:val="14"/>
                <w:szCs w:val="14"/>
              </w:rPr>
              <w:t xml:space="preserve">1 378 760                                                                                                          </w:t>
            </w:r>
          </w:p>
        </w:tc>
      </w:tr>
      <w:tr w:rsidTr="00BB023A">
        <w:tblPrEx>
          <w:tblW w:w="5637" w:type="dxa"/>
          <w:tblInd w:w="0" w:type="dxa"/>
          <w:tblLayout w:type="fixed"/>
          <w:tblLook w:val="01E0"/>
        </w:tblPrEx>
        <w:trPr>
          <w:trHeight w:val="2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705" w:rsidRPr="009205CA" w:rsidP="00936705">
            <w:pPr>
              <w:pStyle w:val="Normal10"/>
              <w:jc w:val="both"/>
              <w:rPr>
                <w:b/>
                <w:bCs/>
                <w:sz w:val="14"/>
                <w:szCs w:val="14"/>
              </w:rPr>
            </w:pPr>
            <w:r w:rsidRPr="009205CA">
              <w:rPr>
                <w:b/>
                <w:bCs/>
                <w:sz w:val="14"/>
                <w:szCs w:val="14"/>
              </w:rPr>
              <w:t>Прибыль к распределению: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6705" w:rsidRPr="009205CA" w:rsidP="00936705">
            <w:pPr>
              <w:pStyle w:val="Normal10"/>
              <w:jc w:val="right"/>
              <w:rPr>
                <w:b/>
                <w:bCs/>
                <w:sz w:val="14"/>
                <w:szCs w:val="14"/>
              </w:rPr>
            </w:pPr>
            <w:r w:rsidRPr="009205CA">
              <w:rPr>
                <w:b/>
                <w:bCs/>
                <w:sz w:val="14"/>
                <w:szCs w:val="14"/>
              </w:rPr>
              <w:t>0</w:t>
            </w:r>
          </w:p>
        </w:tc>
      </w:tr>
      <w:tr w:rsidTr="00BB023A">
        <w:tblPrEx>
          <w:tblW w:w="5637" w:type="dxa"/>
          <w:tblInd w:w="0" w:type="dxa"/>
          <w:tblLayout w:type="fixed"/>
          <w:tblLook w:val="01E0"/>
        </w:tblPrEx>
        <w:trPr>
          <w:trHeight w:val="10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705" w:rsidRPr="009205CA" w:rsidP="00936705">
            <w:pPr>
              <w:pStyle w:val="Normal10"/>
              <w:jc w:val="right"/>
              <w:rPr>
                <w:b/>
                <w:bCs/>
                <w:sz w:val="14"/>
                <w:szCs w:val="14"/>
              </w:rPr>
            </w:pPr>
            <w:r w:rsidRPr="009205CA">
              <w:rPr>
                <w:b/>
                <w:bCs/>
                <w:sz w:val="14"/>
                <w:szCs w:val="14"/>
              </w:rPr>
              <w:t>-  резервный фонд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6705" w:rsidRPr="009205CA" w:rsidP="00936705">
            <w:pPr>
              <w:pStyle w:val="Normal10"/>
              <w:jc w:val="right"/>
              <w:rPr>
                <w:b/>
                <w:bCs/>
                <w:sz w:val="14"/>
                <w:szCs w:val="14"/>
              </w:rPr>
            </w:pPr>
            <w:r w:rsidRPr="009205CA">
              <w:rPr>
                <w:b/>
                <w:bCs/>
                <w:sz w:val="14"/>
                <w:szCs w:val="14"/>
              </w:rPr>
              <w:t>0</w:t>
            </w:r>
          </w:p>
        </w:tc>
      </w:tr>
      <w:tr w:rsidTr="00BB023A">
        <w:tblPrEx>
          <w:tblW w:w="5637" w:type="dxa"/>
          <w:tblInd w:w="0" w:type="dxa"/>
          <w:tblLayout w:type="fixed"/>
          <w:tblLook w:val="01E0"/>
        </w:tblPrEx>
        <w:trPr>
          <w:trHeight w:val="134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705" w:rsidRPr="009205CA" w:rsidP="00936705">
            <w:pPr>
              <w:pStyle w:val="Normal10"/>
              <w:jc w:val="right"/>
              <w:rPr>
                <w:b/>
                <w:bCs/>
                <w:sz w:val="14"/>
                <w:szCs w:val="14"/>
              </w:rPr>
            </w:pPr>
            <w:r w:rsidRPr="009205CA">
              <w:rPr>
                <w:b/>
                <w:bCs/>
                <w:sz w:val="14"/>
                <w:szCs w:val="14"/>
              </w:rPr>
              <w:t xml:space="preserve">  - на выплату дивидендов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6705" w:rsidRPr="009205CA" w:rsidP="00936705">
            <w:pPr>
              <w:pStyle w:val="Normal10"/>
              <w:jc w:val="right"/>
              <w:rPr>
                <w:b/>
                <w:bCs/>
                <w:sz w:val="14"/>
                <w:szCs w:val="14"/>
              </w:rPr>
            </w:pPr>
            <w:r w:rsidRPr="009205CA">
              <w:rPr>
                <w:b/>
                <w:bCs/>
                <w:sz w:val="14"/>
                <w:szCs w:val="14"/>
              </w:rPr>
              <w:t>0</w:t>
            </w:r>
          </w:p>
        </w:tc>
      </w:tr>
    </w:tbl>
    <w:p w:rsidR="00936705" w:rsidRPr="00936705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0"/>
          <w:szCs w:val="10"/>
        </w:rPr>
      </w:pPr>
    </w:p>
    <w:p w:rsidR="00F801B8" w:rsidRPr="00936705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6"/>
          <w:szCs w:val="16"/>
        </w:rPr>
      </w:pP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2. В связи с отсутствием прибыли по итогам 2025 года не выплачивать дивиденды по обыкновенным акциям Общества по результатам 2025 года.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charset w:val="00"/>
    <w:family w:val="auto"/>
    <w:pitch w:val="variable"/>
    <w:sig w:usb0="00000003" w:usb1="00000000" w:usb2="00000000" w:usb3="00000000" w:csb0="00000001" w:csb1="00000000"/>
    <w:embedRegular r:id="rId1" w:subsetted="1" w:fontKey="{9ABA8890-5180-4D7B-A762-934DF7FE6DBB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FB6CFE68-A948-477B-A21E-DD8022EE87DC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">
    <w:name w:val="Normal_9"/>
    <w:qFormat/>
    <w:rsid w:val="00A85AAA"/>
    <w:pPr>
      <w:spacing w:after="0" w:line="240" w:lineRule="auto"/>
    </w:pPr>
    <w:rPr>
      <w:sz w:val="24"/>
      <w:szCs w:val="24"/>
    </w:rPr>
  </w:style>
  <w:style w:type="paragraph" w:customStyle="1" w:styleId="Normal10">
    <w:name w:val="Normal_10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